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Перел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ік свердловин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що будуть розташовані на лівому березі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Сквер ім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Олександра Усачева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районі сквера Максима Семенова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Слобожанський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82;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Батумська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8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Осіння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19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Ковалевської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71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Слобожанський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60;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Слобожанський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40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Тверська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13;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Калнишевського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3;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Батумська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2;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Січеславська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6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районі ЖК Олімпійський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Вул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Донецьке шосе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ru-RU"/>
        </w:rPr>
        <w:t>121;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Миру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55;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Миру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89;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Миру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3;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Хмельницького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24;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Калнишевського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12;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Сагайдачного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12;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Слобожанський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115;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Слобожанський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Висоцького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4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Вул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Донецьке шосе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15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Шолохова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7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Шолохова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25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Терещенківська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4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Терещенківська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18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Крушельницької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20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773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Бажова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26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Слобожанський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17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Слобожанський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77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Дарницька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4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Решетилівська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33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Мануйлівський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75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Мануйлівський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11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Калинова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65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Калинова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72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Малиновського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36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Янтарна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34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Саранська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Агнії Барто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будинком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19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пустирі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біля скверу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 20-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річчя Перемоги 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між 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>. 37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Космонавтів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між буд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24) 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Роторна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дворі між будинками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23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Електрична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між будинками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30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Космонавта Волкова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біля будинку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8) 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Семафорна 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районі будинку </w:t>
      </w:r>
      <w:r>
        <w:rPr>
          <w:rFonts w:ascii="Times New Roman" w:hAnsi="Times New Roman"/>
          <w:sz w:val="28"/>
          <w:szCs w:val="28"/>
          <w:rtl w:val="0"/>
          <w:lang w:val="ru-RU"/>
        </w:rPr>
        <w:t>40)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Іларіонівська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>,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районі будинків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14-16) 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Молодогвардійська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районі будинків </w:t>
      </w:r>
      <w:r>
        <w:rPr>
          <w:rFonts w:ascii="Times New Roman" w:hAnsi="Times New Roman"/>
          <w:sz w:val="28"/>
          <w:szCs w:val="28"/>
          <w:rtl w:val="0"/>
          <w:lang w:val="ru-RU"/>
        </w:rPr>
        <w:t>14,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14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ближче до будинку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12) 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Молодогвардійська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районі будинків </w:t>
      </w:r>
      <w:r>
        <w:rPr>
          <w:rFonts w:ascii="Times New Roman" w:hAnsi="Times New Roman"/>
          <w:sz w:val="28"/>
          <w:szCs w:val="28"/>
          <w:rtl w:val="0"/>
          <w:lang w:val="ru-RU"/>
        </w:rPr>
        <w:t>43-45)</w:t>
      </w:r>
    </w:p>
    <w:sectPr>
      <w:headerReference w:type="default" r:id="rId4"/>
      <w:footerReference w:type="default" r:id="rId5"/>
      <w:pgSz w:w="11900" w:h="16840" w:orient="portrait"/>
      <w:pgMar w:top="567" w:right="851" w:bottom="56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